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DB53D9" w:rsidTr="00C10A98">
        <w:tc>
          <w:tcPr>
            <w:tcW w:w="4606" w:type="dxa"/>
            <w:shd w:val="clear" w:color="auto" w:fill="auto"/>
          </w:tcPr>
          <w:p w:rsidR="00DB53D9" w:rsidRPr="00C10A98" w:rsidRDefault="00DB53D9">
            <w:pPr>
              <w:rPr>
                <w:b/>
                <w:sz w:val="28"/>
                <w:szCs w:val="28"/>
              </w:rPr>
            </w:pPr>
            <w:r w:rsidRPr="00C10A98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06" w:type="dxa"/>
            <w:shd w:val="clear" w:color="auto" w:fill="auto"/>
          </w:tcPr>
          <w:p w:rsidR="00DB53D9" w:rsidRPr="00C10A98" w:rsidRDefault="0048664E" w:rsidP="00542487">
            <w:pPr>
              <w:rPr>
                <w:b/>
                <w:sz w:val="28"/>
                <w:szCs w:val="28"/>
              </w:rPr>
            </w:pPr>
            <w:r w:rsidRPr="00C10A98">
              <w:rPr>
                <w:b/>
                <w:sz w:val="28"/>
                <w:szCs w:val="28"/>
              </w:rPr>
              <w:t>1</w:t>
            </w:r>
            <w:r w:rsidR="00542487">
              <w:rPr>
                <w:b/>
                <w:sz w:val="28"/>
                <w:szCs w:val="28"/>
              </w:rPr>
              <w:t>2</w:t>
            </w:r>
            <w:r w:rsidRPr="00C10A98">
              <w:rPr>
                <w:b/>
                <w:sz w:val="28"/>
                <w:szCs w:val="28"/>
              </w:rPr>
              <w:t>.</w:t>
            </w:r>
            <w:r w:rsidR="00D05170">
              <w:rPr>
                <w:b/>
                <w:sz w:val="28"/>
                <w:szCs w:val="28"/>
              </w:rPr>
              <w:t>55 R</w:t>
            </w:r>
            <w:r w:rsidR="00A61E5D" w:rsidRPr="00C10A98">
              <w:rPr>
                <w:b/>
                <w:sz w:val="28"/>
                <w:szCs w:val="28"/>
              </w:rPr>
              <w:t xml:space="preserve">  </w:t>
            </w:r>
            <w:r w:rsidR="00DB53D9" w:rsidRPr="00C10A98">
              <w:rPr>
                <w:b/>
                <w:sz w:val="28"/>
                <w:szCs w:val="28"/>
              </w:rPr>
              <w:t>ruský  jazyk</w:t>
            </w:r>
          </w:p>
        </w:tc>
      </w:tr>
      <w:tr w:rsidR="00DB53D9" w:rsidTr="00C10A98">
        <w:tc>
          <w:tcPr>
            <w:tcW w:w="4606" w:type="dxa"/>
            <w:shd w:val="clear" w:color="auto" w:fill="auto"/>
          </w:tcPr>
          <w:p w:rsidR="00DB53D9" w:rsidRDefault="00DB53D9">
            <w:r>
              <w:t>Časový rozsah výučby</w:t>
            </w:r>
          </w:p>
        </w:tc>
        <w:tc>
          <w:tcPr>
            <w:tcW w:w="4606" w:type="dxa"/>
            <w:shd w:val="clear" w:color="auto" w:fill="auto"/>
          </w:tcPr>
          <w:p w:rsidR="00DB53D9" w:rsidRDefault="00542487" w:rsidP="00542487">
            <w:r>
              <w:t>4</w:t>
            </w:r>
            <w:r w:rsidR="0048664E">
              <w:t xml:space="preserve"> hodiny týždenne, spolu </w:t>
            </w:r>
            <w:r>
              <w:t>115</w:t>
            </w:r>
            <w:r w:rsidR="0048664E">
              <w:t xml:space="preserve"> ho</w:t>
            </w:r>
            <w:r w:rsidR="00DB53D9">
              <w:t>dín</w:t>
            </w:r>
          </w:p>
        </w:tc>
      </w:tr>
      <w:tr w:rsidR="00DB53D9" w:rsidTr="00C10A98">
        <w:tc>
          <w:tcPr>
            <w:tcW w:w="4606" w:type="dxa"/>
            <w:shd w:val="clear" w:color="auto" w:fill="auto"/>
          </w:tcPr>
          <w:p w:rsidR="00DB53D9" w:rsidRDefault="00DB53D9">
            <w:r>
              <w:t>Ročník</w:t>
            </w:r>
          </w:p>
        </w:tc>
        <w:tc>
          <w:tcPr>
            <w:tcW w:w="4606" w:type="dxa"/>
            <w:shd w:val="clear" w:color="auto" w:fill="auto"/>
          </w:tcPr>
          <w:p w:rsidR="00DB53D9" w:rsidRDefault="00542487">
            <w:r>
              <w:t>druhý</w:t>
            </w:r>
          </w:p>
        </w:tc>
      </w:tr>
      <w:tr w:rsidR="00DB53D9" w:rsidTr="00C10A98">
        <w:tc>
          <w:tcPr>
            <w:tcW w:w="4606" w:type="dxa"/>
            <w:shd w:val="clear" w:color="auto" w:fill="auto"/>
          </w:tcPr>
          <w:p w:rsidR="00DB53D9" w:rsidRDefault="00DB53D9">
            <w:r>
              <w:t>Kód a názov učebného odboru</w:t>
            </w:r>
          </w:p>
        </w:tc>
        <w:tc>
          <w:tcPr>
            <w:tcW w:w="4606" w:type="dxa"/>
            <w:shd w:val="clear" w:color="auto" w:fill="auto"/>
          </w:tcPr>
          <w:p w:rsidR="00DB53D9" w:rsidRDefault="00D05170">
            <w:r>
              <w:t>6426 L vlasová kozmetika</w:t>
            </w:r>
          </w:p>
        </w:tc>
      </w:tr>
      <w:tr w:rsidR="00DB53D9" w:rsidTr="00C10A98">
        <w:tc>
          <w:tcPr>
            <w:tcW w:w="4606" w:type="dxa"/>
            <w:shd w:val="clear" w:color="auto" w:fill="auto"/>
          </w:tcPr>
          <w:p w:rsidR="00DB53D9" w:rsidRDefault="00DB53D9">
            <w:r>
              <w:t>Vyučovací jazyk</w:t>
            </w:r>
          </w:p>
        </w:tc>
        <w:tc>
          <w:tcPr>
            <w:tcW w:w="4606" w:type="dxa"/>
            <w:shd w:val="clear" w:color="auto" w:fill="auto"/>
          </w:tcPr>
          <w:p w:rsidR="00DB53D9" w:rsidRDefault="00D05170" w:rsidP="00D05170">
            <w:r>
              <w:t>ruský jazyk</w:t>
            </w:r>
          </w:p>
        </w:tc>
      </w:tr>
    </w:tbl>
    <w:p w:rsidR="00461EA2" w:rsidRDefault="00461EA2"/>
    <w:p w:rsidR="00DB53D9" w:rsidRPr="00B56A61" w:rsidRDefault="00DB53D9">
      <w:pPr>
        <w:rPr>
          <w:b/>
          <w:u w:val="single"/>
        </w:rPr>
      </w:pPr>
      <w:r w:rsidRPr="00B56A61">
        <w:rPr>
          <w:b/>
          <w:u w:val="single"/>
        </w:rPr>
        <w:t>Charakteristika predmetu</w:t>
      </w:r>
    </w:p>
    <w:p w:rsidR="00DB53D9" w:rsidRDefault="00DB53D9"/>
    <w:p w:rsidR="00DB53D9" w:rsidRDefault="00B56A61" w:rsidP="007938D5">
      <w:pPr>
        <w:jc w:val="both"/>
      </w:pPr>
      <w:r>
        <w:t xml:space="preserve"> </w:t>
      </w:r>
      <w:r w:rsidR="00DB53D9">
        <w:t xml:space="preserve">Obsah výučby vychádza zo vzdelávacej oblasti </w:t>
      </w:r>
      <w:r w:rsidR="00DB53D9" w:rsidRPr="008A663D">
        <w:rPr>
          <w:i/>
        </w:rPr>
        <w:t>„Jazyk a komunikácia</w:t>
      </w:r>
      <w:r w:rsidR="00DB53D9">
        <w:t>“ ŠVP 63, 64 Ekonomika a organizácia, obchod a služby (časť: disponibilné predmety), ktorú sme uplatnili na vytvorenie vyučovacieho predmetu. Na túto vzdelávaciu oblasť Š</w:t>
      </w:r>
      <w:r w:rsidR="00A61E5D">
        <w:t>k</w:t>
      </w:r>
      <w:r w:rsidR="00542487">
        <w:t>VP vyčlenil 4</w:t>
      </w:r>
      <w:r w:rsidR="0048664E">
        <w:t xml:space="preserve"> </w:t>
      </w:r>
      <w:r w:rsidR="00DB53D9">
        <w:t xml:space="preserve"> hodin</w:t>
      </w:r>
      <w:r w:rsidR="00542487">
        <w:t>y týždenne v 2</w:t>
      </w:r>
      <w:r w:rsidR="00DB53D9">
        <w:t>.</w:t>
      </w:r>
      <w:r w:rsidR="0048664E">
        <w:t xml:space="preserve"> </w:t>
      </w:r>
      <w:r w:rsidR="00A61E5D">
        <w:t xml:space="preserve"> </w:t>
      </w:r>
      <w:r w:rsidR="00DB53D9">
        <w:t xml:space="preserve">ročníku </w:t>
      </w:r>
      <w:r w:rsidR="00887562">
        <w:t xml:space="preserve">nadstavbového </w:t>
      </w:r>
      <w:r w:rsidR="00DB53D9">
        <w:t xml:space="preserve">štúdia . </w:t>
      </w:r>
    </w:p>
    <w:p w:rsidR="00DB53D9" w:rsidRDefault="002A1533" w:rsidP="007938D5">
      <w:pPr>
        <w:jc w:val="both"/>
      </w:pPr>
      <w:r>
        <w:t xml:space="preserve"> </w:t>
      </w:r>
      <w:r w:rsidR="00AE50CA">
        <w:t xml:space="preserve">Predmet </w:t>
      </w:r>
      <w:r w:rsidR="00AE50CA" w:rsidRPr="003C3741">
        <w:rPr>
          <w:b/>
        </w:rPr>
        <w:t>ruský jazyk</w:t>
      </w:r>
      <w:r w:rsidR="004A40E9">
        <w:t xml:space="preserve"> v </w:t>
      </w:r>
      <w:r>
        <w:t>študijnom</w:t>
      </w:r>
      <w:r w:rsidR="004A40E9">
        <w:t xml:space="preserve"> odbore</w:t>
      </w:r>
      <w:r>
        <w:t xml:space="preserve"> vlasová kozmetika</w:t>
      </w:r>
      <w:r w:rsidR="00AE50CA">
        <w:t xml:space="preserve"> svojím obsahom  vo všeobecnosti nadväzuje na učivo ZŠ</w:t>
      </w:r>
      <w:r w:rsidR="004A40E9">
        <w:t>, SŠ</w:t>
      </w:r>
      <w:r w:rsidR="00AE50CA">
        <w:t xml:space="preserve"> a rozvíja ho. Obsah predmetu je štrukt</w:t>
      </w:r>
      <w:r w:rsidR="00EE1E0E">
        <w:t>ú</w:t>
      </w:r>
      <w:r w:rsidR="00AE50CA">
        <w:t xml:space="preserve">rovaný do tematických celkov. Vedomosti a zručnosti, </w:t>
      </w:r>
      <w:r w:rsidR="00CC78E2">
        <w:t xml:space="preserve">ktoré </w:t>
      </w:r>
      <w:r>
        <w:t xml:space="preserve">sa </w:t>
      </w:r>
      <w:r w:rsidR="00CC78E2">
        <w:t xml:space="preserve">učiaci </w:t>
      </w:r>
      <w:r>
        <w:t>v ruskom</w:t>
      </w:r>
      <w:r w:rsidR="00CC78E2">
        <w:t xml:space="preserve"> jazyk</w:t>
      </w:r>
      <w:r>
        <w:t>om</w:t>
      </w:r>
      <w:r w:rsidR="00CC78E2">
        <w:t xml:space="preserve"> ako prv</w:t>
      </w:r>
      <w:r>
        <w:t>om cudzom</w:t>
      </w:r>
      <w:r w:rsidR="00AE50CA">
        <w:t xml:space="preserve"> jazyk nadobudn</w:t>
      </w:r>
      <w:r>
        <w:t>ú</w:t>
      </w:r>
      <w:r w:rsidR="00AE50CA">
        <w:t xml:space="preserve"> v základnom rozsahu, </w:t>
      </w:r>
      <w:r>
        <w:t>im</w:t>
      </w:r>
      <w:r w:rsidR="00AE50CA">
        <w:t xml:space="preserve"> umožnia opisovať každodenné situácie predvídateľného obsahu, i keď vo všeobecnosti je nútený obsah výpovede obmedziť a hľadať slová.</w:t>
      </w:r>
      <w:r w:rsidR="00A61E5D">
        <w:t xml:space="preserve"> Teda vyučovanie tohto predmetu prispieva k väčšej mobilite v osobnom živote, v ďalšom štúdiu a napokon, uplatnením sa na trhu práce. V praxi to znamená najmä sprostredkovanie takých hodnôt a utváranie takých názorov a postojov žiaka, ktoré sú potrebné na začlenenie sa do života nielen v SR, ale aj mimo nášho štátu. </w:t>
      </w:r>
    </w:p>
    <w:p w:rsidR="00AE50CA" w:rsidRDefault="008726C5" w:rsidP="007938D5">
      <w:pPr>
        <w:jc w:val="both"/>
      </w:pPr>
      <w:r>
        <w:t xml:space="preserve"> </w:t>
      </w:r>
      <w:r w:rsidR="00AE50CA">
        <w:t xml:space="preserve">Učivo sa </w:t>
      </w:r>
      <w:r w:rsidR="00A61E5D">
        <w:t>v </w:t>
      </w:r>
      <w:r w:rsidR="00542487">
        <w:t>druhom</w:t>
      </w:r>
      <w:r w:rsidR="00A61E5D">
        <w:t xml:space="preserve"> ročníku </w:t>
      </w:r>
      <w:r w:rsidR="00AE50CA">
        <w:t xml:space="preserve">skladá </w:t>
      </w:r>
      <w:r w:rsidR="004A40E9">
        <w:t xml:space="preserve">z tém: </w:t>
      </w:r>
      <w:r w:rsidR="00887562">
        <w:t>Človek a spoločnosť, Starostlivosť o zdravie, Kultúra a umenie, Ruské suveníry, Medziľudské vzťahy, Multikultúrna spoločnosť.</w:t>
      </w:r>
    </w:p>
    <w:p w:rsidR="00887562" w:rsidRDefault="00887562" w:rsidP="007938D5">
      <w:pPr>
        <w:jc w:val="both"/>
      </w:pPr>
    </w:p>
    <w:p w:rsidR="00AE50CA" w:rsidRDefault="00887562" w:rsidP="007938D5">
      <w:pPr>
        <w:jc w:val="both"/>
      </w:pPr>
      <w:r>
        <w:t xml:space="preserve">   </w:t>
      </w:r>
      <w:r w:rsidR="008726C5">
        <w:t xml:space="preserve"> </w:t>
      </w:r>
      <w:r w:rsidR="00AE50CA">
        <w:t>Žiaci si musia uvedomiť, že vyučovan</w:t>
      </w:r>
      <w:r w:rsidR="00C10A98">
        <w:t>ie ruského jazyka ako 1.</w:t>
      </w:r>
      <w:r w:rsidR="00AE50CA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AE50CA" w:rsidRDefault="00AE50CA" w:rsidP="007938D5">
      <w:pPr>
        <w:jc w:val="both"/>
      </w:pPr>
    </w:p>
    <w:p w:rsidR="00AE50CA" w:rsidRDefault="008726C5" w:rsidP="007938D5">
      <w:pPr>
        <w:jc w:val="both"/>
      </w:pPr>
      <w:r>
        <w:t xml:space="preserve"> </w:t>
      </w:r>
      <w:r w:rsidR="00261AF9">
        <w:t>Predmet ruský jazyk prispieva k pochopeniu a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261AF9" w:rsidRDefault="00261AF9" w:rsidP="007938D5">
      <w:pPr>
        <w:jc w:val="both"/>
      </w:pPr>
    </w:p>
    <w:p w:rsidR="00261AF9" w:rsidRDefault="008726C5" w:rsidP="007938D5">
      <w:pPr>
        <w:jc w:val="both"/>
      </w:pPr>
      <w:r>
        <w:t xml:space="preserve"> </w:t>
      </w:r>
      <w:r w:rsidR="00261AF9">
        <w:t>Metódy, formy a prostriedky vyučovania ruštiny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261AF9" w:rsidRDefault="00261AF9" w:rsidP="007938D5">
      <w:pPr>
        <w:jc w:val="both"/>
      </w:pPr>
    </w:p>
    <w:p w:rsidR="00887562" w:rsidRDefault="008726C5" w:rsidP="007938D5">
      <w:pPr>
        <w:jc w:val="both"/>
      </w:pPr>
      <w:r>
        <w:t xml:space="preserve"> </w:t>
      </w:r>
      <w:r w:rsidR="00261AF9">
        <w:t xml:space="preserve">Stimulovať poznávacie činnosti žiaka predpokladá uplatňovať vo vyučovaní ruského jazyka proporcionálne zastúpenie a prepojenie empirického a teoretického poznávania. Výchovné a vzdelávacie stratégie napomôžu rozvoju a upevňovaniu kľúčových kompetencií žiaka. </w:t>
      </w:r>
      <w:r w:rsidR="008A663D">
        <w:t xml:space="preserve">V tomto predmete budeme rozvíjať a skvalitňovať kľúčové kompetencie </w:t>
      </w:r>
      <w:r w:rsidR="008A663D" w:rsidRPr="008A663D">
        <w:rPr>
          <w:i/>
        </w:rPr>
        <w:t>komunikatívne a sociálne interakčné, interpersonálna a intrapersonálne, spôsobilosti tvorivo riešiť problémy, spôsobilosti využívať IT a spôsobilosti byť demokratickým občanom.</w:t>
      </w:r>
      <w:r w:rsidR="008A663D">
        <w:t xml:space="preserve"> Preto je dôležitou súčasťou teoretického poznávania a zároveň prostriedkom precvičovania, upevňovania, prehlbovania a systematizácie poznatkov okrem iného aj riešenie </w:t>
      </w:r>
    </w:p>
    <w:p w:rsidR="00887562" w:rsidRDefault="00887562" w:rsidP="00887562">
      <w:pPr>
        <w:numPr>
          <w:ilvl w:val="0"/>
          <w:numId w:val="2"/>
        </w:numPr>
        <w:jc w:val="center"/>
      </w:pPr>
      <w:r>
        <w:lastRenderedPageBreak/>
        <w:t>2 -</w:t>
      </w:r>
    </w:p>
    <w:p w:rsidR="00887562" w:rsidRDefault="00887562" w:rsidP="007938D5">
      <w:pPr>
        <w:jc w:val="both"/>
      </w:pPr>
    </w:p>
    <w:p w:rsidR="00261AF9" w:rsidRDefault="008A663D" w:rsidP="007938D5">
      <w:pPr>
        <w:jc w:val="both"/>
      </w:pPr>
      <w:r>
        <w:t>kvantitatívnych a kvalitatívnych úloh z učiva jednotlivých tematických celkov. Predmet ruský j</w:t>
      </w:r>
      <w:r w:rsidR="00BC5CED">
        <w:t>a</w:t>
      </w:r>
      <w:r>
        <w:t>zyk je úzko spätý s vyučovaním iných cudzích jazykov, ale aj materinského jazyka.</w:t>
      </w:r>
    </w:p>
    <w:p w:rsidR="00BC5CED" w:rsidRDefault="00BC5CED" w:rsidP="007938D5">
      <w:pPr>
        <w:jc w:val="both"/>
      </w:pPr>
    </w:p>
    <w:p w:rsidR="001D7E5D" w:rsidRDefault="008726C5" w:rsidP="007938D5">
      <w:pPr>
        <w:jc w:val="both"/>
      </w:pPr>
      <w:r>
        <w:t xml:space="preserve"> </w:t>
      </w:r>
      <w:r w:rsidR="001D7E5D">
        <w:t xml:space="preserve">K významným prvkom vo výchovno-vzdelávacom procese predmetu </w:t>
      </w:r>
      <w:r w:rsidR="001D7E5D" w:rsidRPr="003C3741">
        <w:rPr>
          <w:b/>
        </w:rPr>
        <w:t>ruský jazyk</w:t>
      </w:r>
      <w:r w:rsidR="001D7E5D">
        <w:t xml:space="preserve"> patrí aj spoznávanie reálií Ruskej federácie. Škola má vytvorené dobré materiálno-technické podmienky, ktoré umožnia učiteľovi využívať nielen PC a internet, ale ja video alebo CD nosiče, ktoré sú obohatením a prínosom do vyučovania ruštiny.</w:t>
      </w:r>
    </w:p>
    <w:p w:rsidR="001D7E5D" w:rsidRDefault="001D7E5D" w:rsidP="007938D5">
      <w:pPr>
        <w:jc w:val="both"/>
      </w:pPr>
    </w:p>
    <w:p w:rsidR="001D7E5D" w:rsidRDefault="008726C5" w:rsidP="007938D5">
      <w:pPr>
        <w:jc w:val="both"/>
      </w:pPr>
      <w:r>
        <w:t xml:space="preserve"> </w:t>
      </w:r>
      <w:r w:rsidR="001D7E5D"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:rsidR="001D7E5D" w:rsidRDefault="001D7E5D" w:rsidP="007938D5">
      <w:pPr>
        <w:jc w:val="both"/>
      </w:pPr>
      <w:r>
        <w:t>Výučba bude prebiehať v bežnej triede.</w:t>
      </w:r>
    </w:p>
    <w:p w:rsidR="001D7E5D" w:rsidRDefault="001D7E5D" w:rsidP="007938D5">
      <w:pPr>
        <w:jc w:val="both"/>
      </w:pPr>
    </w:p>
    <w:p w:rsidR="001D7E5D" w:rsidRDefault="001D7E5D" w:rsidP="007938D5">
      <w:pPr>
        <w:jc w:val="both"/>
        <w:rPr>
          <w:b/>
          <w:u w:val="single"/>
        </w:rPr>
      </w:pPr>
      <w:r w:rsidRPr="008726C5">
        <w:rPr>
          <w:b/>
          <w:u w:val="single"/>
        </w:rPr>
        <w:t>Ciele vyučovacieho predmetu</w:t>
      </w:r>
    </w:p>
    <w:p w:rsidR="008726C5" w:rsidRPr="008726C5" w:rsidRDefault="008726C5" w:rsidP="007938D5">
      <w:pPr>
        <w:jc w:val="both"/>
        <w:rPr>
          <w:b/>
          <w:u w:val="single"/>
        </w:rPr>
      </w:pPr>
    </w:p>
    <w:p w:rsidR="001D7E5D" w:rsidRDefault="008726C5" w:rsidP="007938D5">
      <w:pPr>
        <w:jc w:val="both"/>
      </w:pPr>
      <w:r>
        <w:t xml:space="preserve"> </w:t>
      </w:r>
      <w:r w:rsidR="001D7E5D">
        <w:t>Cieľom vyučov</w:t>
      </w:r>
      <w:r w:rsidR="0007199D">
        <w:t>acieho predmetu ruský jazyk ako</w:t>
      </w:r>
      <w:r>
        <w:t xml:space="preserve"> </w:t>
      </w:r>
      <w:r w:rsidR="0007199D">
        <w:t>1</w:t>
      </w:r>
      <w:r w:rsidR="001D7E5D">
        <w:t>. cudz</w:t>
      </w:r>
      <w:r w:rsidR="007938D5">
        <w:t>ieho</w:t>
      </w:r>
      <w:r w:rsidR="001D7E5D">
        <w:t xml:space="preserve"> jazyk</w:t>
      </w:r>
      <w:r w:rsidR="007938D5">
        <w:t>a</w:t>
      </w:r>
      <w:r w:rsidR="0007199D">
        <w:t xml:space="preserve"> v ŠO vlasová kozmetika</w:t>
      </w:r>
      <w:r w:rsidR="001D7E5D">
        <w:t xml:space="preserve"> je</w:t>
      </w:r>
      <w:r>
        <w:t xml:space="preserve"> </w:t>
      </w:r>
      <w:r w:rsidR="001D7E5D">
        <w:t>viesť žiakov k postupnému osvojovaniu si ruštiny ako bohatého mnohotvárneho prostriedku na získavanie a odovzdávanie informácií, na vyjadrovanie vlastných postojov a názorov. Poskytnúť žiakom také vedomosti o ruskom jazyku a</w:t>
      </w:r>
      <w:r w:rsidR="002F7D20">
        <w:t> danom ku</w:t>
      </w:r>
      <w:r w:rsidR="0007199D">
        <w:t xml:space="preserve">ltúrnom prostredí, aby učiaci </w:t>
      </w:r>
      <w:r w:rsidR="002F7D20">
        <w:t xml:space="preserve"> nadobudli pozitívny vzťah k RUJ v rámci interkultúrnej komunikácie. Pestovať v nich pocit jazykovej príbuznosti a spolupatričnosti s inými etnikami, ale aj zvyšovať 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2F7D20" w:rsidRDefault="002F7D20" w:rsidP="007938D5">
      <w:pPr>
        <w:jc w:val="both"/>
      </w:pPr>
    </w:p>
    <w:p w:rsidR="002F7D20" w:rsidRPr="008726C5" w:rsidRDefault="002F7D20" w:rsidP="007938D5">
      <w:pPr>
        <w:jc w:val="both"/>
        <w:rPr>
          <w:b/>
          <w:u w:val="single"/>
        </w:rPr>
      </w:pPr>
      <w:r w:rsidRPr="008726C5">
        <w:rPr>
          <w:b/>
          <w:u w:val="single"/>
        </w:rPr>
        <w:t>Prehľad výchovných a vzdelávacích stratégií</w:t>
      </w:r>
    </w:p>
    <w:p w:rsidR="008726C5" w:rsidRPr="00946127" w:rsidRDefault="008726C5" w:rsidP="007938D5">
      <w:pPr>
        <w:jc w:val="both"/>
        <w:rPr>
          <w:b/>
        </w:rPr>
      </w:pPr>
    </w:p>
    <w:p w:rsidR="002F7D20" w:rsidRDefault="008726C5" w:rsidP="007938D5">
      <w:pPr>
        <w:jc w:val="both"/>
      </w:pPr>
      <w:r>
        <w:t xml:space="preserve"> </w:t>
      </w:r>
      <w:r w:rsidR="002F7D20">
        <w:t>Vo vyučovacom predmete ruský jazyk využívame pre utváranie a rozvíjanie nasledujúcich kľúčových kompetencií výchovné a vzdelávacie stratégie, ktoré žiakom umožňujú:</w:t>
      </w:r>
    </w:p>
    <w:p w:rsidR="002F7D20" w:rsidRDefault="002F7D20" w:rsidP="007938D5">
      <w:pPr>
        <w:jc w:val="both"/>
      </w:pPr>
    </w:p>
    <w:p w:rsidR="002F7D20" w:rsidRPr="00AC7624" w:rsidRDefault="00B64FDE" w:rsidP="007938D5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sprostredkovať informácie vhodným spôsobom (text, video, hovorené slovo) tak, aby každý každému porozumel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vyjadriť alebo jednoznačne formulovať vlastný názor a záver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kriticky hodnotiť informácie (odborný časopis, internet)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správne interpretovať získané fakty, vyvodzovať z nich závery  a dôsledky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osvojovať si nadobudnuté kompetencie, ktoré im umožnia vzdelávať sa po celý život a zaujať aktívne miesto v sociálno – kultúrnom prostredí</w:t>
      </w:r>
    </w:p>
    <w:p w:rsidR="00B64FDE" w:rsidRDefault="00B64FDE" w:rsidP="007938D5">
      <w:pPr>
        <w:jc w:val="both"/>
      </w:pPr>
    </w:p>
    <w:p w:rsidR="00B64FDE" w:rsidRPr="00AC7624" w:rsidRDefault="00B64FDE" w:rsidP="007938D5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intrapersonálne spôsobilosti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rozvíjať prácu v kolektíve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osvojiť si pocit zodpovednosti za seba a spoluzodpovednosti za prácu v kolektíve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hodnotiť a rešpektovať svoju vlastnú prácu a prácu druhých</w:t>
      </w:r>
    </w:p>
    <w:p w:rsidR="00B64FDE" w:rsidRDefault="00B64FDE" w:rsidP="007938D5">
      <w:pPr>
        <w:jc w:val="both"/>
      </w:pPr>
    </w:p>
    <w:p w:rsidR="00B64FDE" w:rsidRPr="00AC7624" w:rsidRDefault="00B64FDE" w:rsidP="007938D5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B64FDE" w:rsidRDefault="00B64FDE" w:rsidP="007938D5">
      <w:pPr>
        <w:numPr>
          <w:ilvl w:val="0"/>
          <w:numId w:val="1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B64FDE" w:rsidRDefault="00B64FDE" w:rsidP="00B64FDE">
      <w:pPr>
        <w:numPr>
          <w:ilvl w:val="0"/>
          <w:numId w:val="1"/>
        </w:numPr>
      </w:pPr>
      <w:r>
        <w:lastRenderedPageBreak/>
        <w:t xml:space="preserve">vyjadriť alebo jednoznačne formulovať problém </w:t>
      </w:r>
      <w:r w:rsidR="007938D5">
        <w:t>vo vyučovaní ru</w:t>
      </w:r>
      <w:r w:rsidR="00946127">
        <w:t>štiny</w:t>
      </w:r>
    </w:p>
    <w:p w:rsidR="00946127" w:rsidRDefault="00946127" w:rsidP="007938D5">
      <w:pPr>
        <w:numPr>
          <w:ilvl w:val="0"/>
          <w:numId w:val="1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946127" w:rsidRDefault="00946127" w:rsidP="007938D5">
      <w:pPr>
        <w:numPr>
          <w:ilvl w:val="0"/>
          <w:numId w:val="1"/>
        </w:numPr>
        <w:jc w:val="both"/>
      </w:pPr>
      <w:r>
        <w:t>posudzovať riešenie daného jazykového problému z hľadiska jeho správnosti, jednoznačnosti alebo efektívnosti</w:t>
      </w:r>
    </w:p>
    <w:p w:rsidR="00946127" w:rsidRDefault="00946127" w:rsidP="007938D5">
      <w:pPr>
        <w:numPr>
          <w:ilvl w:val="0"/>
          <w:numId w:val="1"/>
        </w:numPr>
        <w:jc w:val="both"/>
      </w:pPr>
      <w:r>
        <w:t>korigovať nesprávne riešenia problému</w:t>
      </w:r>
    </w:p>
    <w:p w:rsidR="00946127" w:rsidRDefault="00946127" w:rsidP="007938D5">
      <w:pPr>
        <w:jc w:val="both"/>
      </w:pPr>
    </w:p>
    <w:p w:rsidR="00946127" w:rsidRPr="00AC7624" w:rsidRDefault="00946127" w:rsidP="007938D5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946127" w:rsidRDefault="00946127" w:rsidP="007938D5">
      <w:pPr>
        <w:numPr>
          <w:ilvl w:val="0"/>
          <w:numId w:val="1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946127" w:rsidRDefault="00946127" w:rsidP="007938D5">
      <w:pPr>
        <w:numPr>
          <w:ilvl w:val="0"/>
          <w:numId w:val="1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946127" w:rsidRDefault="00946127" w:rsidP="007938D5">
      <w:pPr>
        <w:ind w:left="360"/>
        <w:jc w:val="both"/>
      </w:pPr>
    </w:p>
    <w:p w:rsidR="00946127" w:rsidRPr="00AC7624" w:rsidRDefault="00946127" w:rsidP="007938D5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946127" w:rsidRDefault="00946127" w:rsidP="007938D5">
      <w:pPr>
        <w:numPr>
          <w:ilvl w:val="0"/>
          <w:numId w:val="1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946127" w:rsidRDefault="00946127" w:rsidP="007938D5">
      <w:pPr>
        <w:numPr>
          <w:ilvl w:val="0"/>
          <w:numId w:val="1"/>
        </w:numPr>
        <w:jc w:val="both"/>
      </w:pPr>
      <w:r>
        <w:t>preukázať vlastnú zodpovednosť za zverené veci, za svoje vlastné správanie, zdravie a spoluzodpovednosť za životné prostredie alebo stav spoločnosti ako celku</w:t>
      </w:r>
    </w:p>
    <w:p w:rsidR="00AC7624" w:rsidRDefault="00AC7624" w:rsidP="00AC7624"/>
    <w:p w:rsidR="00AC7624" w:rsidRPr="008726C5" w:rsidRDefault="00AC7624" w:rsidP="00AC7624">
      <w:pPr>
        <w:rPr>
          <w:b/>
          <w:u w:val="single"/>
        </w:rPr>
      </w:pPr>
      <w:r w:rsidRPr="008726C5">
        <w:rPr>
          <w:b/>
          <w:u w:val="single"/>
        </w:rPr>
        <w:t>Stratégia vyučovania</w:t>
      </w:r>
    </w:p>
    <w:p w:rsidR="0007199D" w:rsidRPr="00AC7624" w:rsidRDefault="0007199D" w:rsidP="00AC7624">
      <w:pPr>
        <w:rPr>
          <w:b/>
        </w:rPr>
      </w:pPr>
    </w:p>
    <w:p w:rsidR="00AC7624" w:rsidRDefault="00AC7624" w:rsidP="00AC7624">
      <w:r>
        <w:t xml:space="preserve">Pri vyučovaní </w:t>
      </w:r>
      <w:r w:rsidRPr="00A61E5D">
        <w:rPr>
          <w:b/>
        </w:rPr>
        <w:t>RUJ</w:t>
      </w:r>
      <w:r>
        <w:t xml:space="preserve"> sa </w:t>
      </w:r>
      <w:r w:rsidR="00A61E5D">
        <w:t>v </w:t>
      </w:r>
      <w:r w:rsidR="00887562">
        <w:t>2</w:t>
      </w:r>
      <w:r w:rsidR="00A61E5D" w:rsidRPr="00A61E5D">
        <w:rPr>
          <w:b/>
        </w:rPr>
        <w:t>. ročníku</w:t>
      </w:r>
      <w:r w:rsidR="00A61E5D">
        <w:t xml:space="preserve"> </w:t>
      </w:r>
      <w:r>
        <w:t>budú využívať nasledovné metódy a formy vyučovania</w:t>
      </w:r>
      <w:r w:rsidR="00761ED5">
        <w:t>:</w:t>
      </w:r>
    </w:p>
    <w:p w:rsidR="00AC7624" w:rsidRDefault="00AC7624" w:rsidP="00AC7624"/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0"/>
        <w:gridCol w:w="3131"/>
        <w:gridCol w:w="3131"/>
      </w:tblGrid>
      <w:tr w:rsidR="00AC7624" w:rsidTr="00C159E0">
        <w:trPr>
          <w:trHeight w:val="162"/>
        </w:trPr>
        <w:tc>
          <w:tcPr>
            <w:tcW w:w="3130" w:type="dxa"/>
            <w:vMerge w:val="restart"/>
            <w:shd w:val="clear" w:color="auto" w:fill="auto"/>
          </w:tcPr>
          <w:p w:rsidR="00AC7624" w:rsidRPr="00C10A98" w:rsidRDefault="00AC7624" w:rsidP="00C10A98">
            <w:pPr>
              <w:jc w:val="center"/>
              <w:rPr>
                <w:b/>
              </w:rPr>
            </w:pPr>
            <w:r w:rsidRPr="00C10A98">
              <w:rPr>
                <w:b/>
              </w:rPr>
              <w:t>Názov tematického celku</w:t>
            </w:r>
          </w:p>
        </w:tc>
        <w:tc>
          <w:tcPr>
            <w:tcW w:w="6262" w:type="dxa"/>
            <w:gridSpan w:val="2"/>
            <w:shd w:val="clear" w:color="auto" w:fill="auto"/>
          </w:tcPr>
          <w:p w:rsidR="00AC7624" w:rsidRPr="00C10A98" w:rsidRDefault="00AC7624" w:rsidP="00C10A98">
            <w:pPr>
              <w:jc w:val="center"/>
              <w:rPr>
                <w:b/>
                <w:sz w:val="20"/>
                <w:szCs w:val="20"/>
              </w:rPr>
            </w:pPr>
            <w:r w:rsidRPr="00C10A98">
              <w:rPr>
                <w:b/>
                <w:sz w:val="20"/>
                <w:szCs w:val="20"/>
              </w:rPr>
              <w:t>Stratégia vyučovania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vMerge/>
            <w:shd w:val="clear" w:color="auto" w:fill="auto"/>
          </w:tcPr>
          <w:p w:rsidR="00AC7624" w:rsidRDefault="00AC7624" w:rsidP="00AC7624"/>
        </w:tc>
        <w:tc>
          <w:tcPr>
            <w:tcW w:w="3131" w:type="dxa"/>
            <w:shd w:val="clear" w:color="auto" w:fill="auto"/>
          </w:tcPr>
          <w:p w:rsidR="00AC7624" w:rsidRPr="00C10A98" w:rsidRDefault="00AC7624" w:rsidP="00C10A98">
            <w:pPr>
              <w:jc w:val="center"/>
              <w:rPr>
                <w:b/>
                <w:sz w:val="20"/>
                <w:szCs w:val="20"/>
              </w:rPr>
            </w:pPr>
            <w:r w:rsidRPr="00C10A98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31" w:type="dxa"/>
            <w:shd w:val="clear" w:color="auto" w:fill="auto"/>
          </w:tcPr>
          <w:p w:rsidR="00AC7624" w:rsidRPr="00C10A98" w:rsidRDefault="00AC7624" w:rsidP="00C10A98">
            <w:pPr>
              <w:jc w:val="center"/>
              <w:rPr>
                <w:b/>
                <w:sz w:val="20"/>
                <w:szCs w:val="20"/>
              </w:rPr>
            </w:pPr>
            <w:r w:rsidRPr="00C10A98">
              <w:rPr>
                <w:b/>
                <w:sz w:val="20"/>
                <w:szCs w:val="20"/>
              </w:rPr>
              <w:t>Formy práce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35378B" w:rsidP="0007199D">
            <w:r>
              <w:t xml:space="preserve">1. </w:t>
            </w:r>
            <w:r w:rsidR="00887562">
              <w:t>Človek a spoločnosť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Reproduktívna – riadený rozhovor</w:t>
            </w:r>
          </w:p>
          <w:p w:rsidR="0035378B" w:rsidRDefault="0035378B" w:rsidP="00AC7624">
            <w:r>
              <w:t>Informačno – receptívna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Frontálna výučba</w:t>
            </w:r>
          </w:p>
          <w:p w:rsidR="0035378B" w:rsidRDefault="0035378B" w:rsidP="00AC7624">
            <w:r>
              <w:t>Frontálna a individuálna práca žiakov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35378B" w:rsidP="0007199D">
            <w:r>
              <w:t>2.</w:t>
            </w:r>
            <w:r w:rsidR="0007199D">
              <w:t xml:space="preserve"> </w:t>
            </w:r>
            <w:r w:rsidR="00887562">
              <w:t>Starostlivosť o zdravie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Demonštrovanie a pozorovanie</w:t>
            </w:r>
          </w:p>
          <w:p w:rsidR="0035378B" w:rsidRDefault="0035378B" w:rsidP="00AC7624">
            <w:r>
              <w:t>Výkladovo - ilustratívna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Práca s knihou</w:t>
            </w:r>
          </w:p>
          <w:p w:rsidR="0035378B" w:rsidRDefault="0035378B" w:rsidP="00AC7624">
            <w:r>
              <w:t>Práca so zošitom</w:t>
            </w:r>
          </w:p>
          <w:p w:rsidR="0035378B" w:rsidRDefault="0035378B" w:rsidP="00AC7624">
            <w:r>
              <w:t>Precvičovanie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35378B" w:rsidP="0007199D">
            <w:r>
              <w:t>3.</w:t>
            </w:r>
            <w:r w:rsidR="00887562">
              <w:t xml:space="preserve"> Kultúra a umenie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Výklad</w:t>
            </w:r>
          </w:p>
          <w:p w:rsidR="0035378B" w:rsidRDefault="0035378B" w:rsidP="00AC7624">
            <w:r>
              <w:t>Rozhovor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Demonštrovanie postupu</w:t>
            </w:r>
          </w:p>
          <w:p w:rsidR="0035378B" w:rsidRDefault="0035378B" w:rsidP="00AC7624">
            <w:r>
              <w:t>Individuálna práca žiakov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35378B" w:rsidP="0007199D">
            <w:r>
              <w:t xml:space="preserve">4. </w:t>
            </w:r>
            <w:r w:rsidR="00887562">
              <w:t>Ruské suveniry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Reproduktívna – riadený rozhovor</w:t>
            </w:r>
          </w:p>
          <w:p w:rsidR="0035378B" w:rsidRDefault="0035378B" w:rsidP="00AC7624">
            <w:r>
              <w:t>Informačno - receptívna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Práca s knihou</w:t>
            </w:r>
          </w:p>
          <w:p w:rsidR="0035378B" w:rsidRDefault="0035378B" w:rsidP="00AC7624">
            <w:r>
              <w:t>Individuálna práca so zošitom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35378B" w:rsidP="0007199D">
            <w:r>
              <w:t xml:space="preserve">5. </w:t>
            </w:r>
            <w:r w:rsidR="00887562">
              <w:t>Medziľudské vzťahy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Informačno – receptívna</w:t>
            </w:r>
          </w:p>
          <w:p w:rsidR="0035378B" w:rsidRDefault="0035378B" w:rsidP="00AC7624">
            <w:r>
              <w:t>Demonštrovanie a pozorovanie</w:t>
            </w:r>
          </w:p>
        </w:tc>
        <w:tc>
          <w:tcPr>
            <w:tcW w:w="3131" w:type="dxa"/>
            <w:shd w:val="clear" w:color="auto" w:fill="auto"/>
          </w:tcPr>
          <w:p w:rsidR="00AC7624" w:rsidRDefault="0035378B" w:rsidP="00AC7624">
            <w:r>
              <w:t>Frontálna výučba</w:t>
            </w:r>
          </w:p>
          <w:p w:rsidR="0035378B" w:rsidRDefault="0035378B" w:rsidP="00AC7624">
            <w:r>
              <w:t>Demonštrovanie postupu</w:t>
            </w:r>
          </w:p>
          <w:p w:rsidR="0035378B" w:rsidRDefault="0035378B" w:rsidP="00AC7624">
            <w:r>
              <w:t>Práca s textom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4B3D92" w:rsidP="0007199D">
            <w:r>
              <w:t xml:space="preserve">6. </w:t>
            </w:r>
            <w:r w:rsidR="00887562">
              <w:t>Multikultúrna spoločnosť</w:t>
            </w:r>
          </w:p>
        </w:tc>
        <w:tc>
          <w:tcPr>
            <w:tcW w:w="3131" w:type="dxa"/>
            <w:shd w:val="clear" w:color="auto" w:fill="auto"/>
          </w:tcPr>
          <w:p w:rsidR="00AC7624" w:rsidRDefault="004B3D92" w:rsidP="00AC7624">
            <w:r>
              <w:t>Informačno – receptívna</w:t>
            </w:r>
          </w:p>
          <w:p w:rsidR="004B3D92" w:rsidRDefault="004B3D92" w:rsidP="00AC7624">
            <w:r>
              <w:t>Reproduktívna - rozhovor</w:t>
            </w:r>
          </w:p>
        </w:tc>
        <w:tc>
          <w:tcPr>
            <w:tcW w:w="3131" w:type="dxa"/>
            <w:shd w:val="clear" w:color="auto" w:fill="auto"/>
          </w:tcPr>
          <w:p w:rsidR="00AC7624" w:rsidRDefault="004B3D92" w:rsidP="00AC7624">
            <w:r>
              <w:t xml:space="preserve">Práca s knihou </w:t>
            </w:r>
          </w:p>
          <w:p w:rsidR="004B3D92" w:rsidRDefault="004B3D92" w:rsidP="00AC7624">
            <w:r>
              <w:t>Skupinová práca žiakov</w:t>
            </w:r>
          </w:p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AC7624" w:rsidP="0007199D"/>
        </w:tc>
        <w:tc>
          <w:tcPr>
            <w:tcW w:w="3131" w:type="dxa"/>
            <w:shd w:val="clear" w:color="auto" w:fill="auto"/>
          </w:tcPr>
          <w:p w:rsidR="004B3D92" w:rsidRDefault="004B3D92" w:rsidP="00AC7624"/>
        </w:tc>
        <w:tc>
          <w:tcPr>
            <w:tcW w:w="3131" w:type="dxa"/>
            <w:shd w:val="clear" w:color="auto" w:fill="auto"/>
          </w:tcPr>
          <w:p w:rsidR="004B3D92" w:rsidRDefault="004B3D92" w:rsidP="00AC7624"/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AC7624" w:rsidP="0007199D"/>
        </w:tc>
        <w:tc>
          <w:tcPr>
            <w:tcW w:w="3131" w:type="dxa"/>
            <w:shd w:val="clear" w:color="auto" w:fill="auto"/>
          </w:tcPr>
          <w:p w:rsidR="004B3D92" w:rsidRDefault="004B3D92" w:rsidP="00AC7624"/>
        </w:tc>
        <w:tc>
          <w:tcPr>
            <w:tcW w:w="3131" w:type="dxa"/>
            <w:shd w:val="clear" w:color="auto" w:fill="auto"/>
          </w:tcPr>
          <w:p w:rsidR="004B3D92" w:rsidRDefault="004B3D92" w:rsidP="00AC7624"/>
        </w:tc>
      </w:tr>
      <w:tr w:rsidR="00AC7624" w:rsidTr="00C159E0">
        <w:trPr>
          <w:trHeight w:val="162"/>
        </w:trPr>
        <w:tc>
          <w:tcPr>
            <w:tcW w:w="3130" w:type="dxa"/>
            <w:shd w:val="clear" w:color="auto" w:fill="auto"/>
          </w:tcPr>
          <w:p w:rsidR="00AC7624" w:rsidRDefault="00AC7624" w:rsidP="0007199D"/>
        </w:tc>
        <w:tc>
          <w:tcPr>
            <w:tcW w:w="3131" w:type="dxa"/>
            <w:shd w:val="clear" w:color="auto" w:fill="auto"/>
          </w:tcPr>
          <w:p w:rsidR="004B3D92" w:rsidRDefault="004B3D92" w:rsidP="00AC7624"/>
        </w:tc>
        <w:tc>
          <w:tcPr>
            <w:tcW w:w="3131" w:type="dxa"/>
            <w:shd w:val="clear" w:color="auto" w:fill="auto"/>
          </w:tcPr>
          <w:p w:rsidR="004B3D92" w:rsidRDefault="004B3D92" w:rsidP="00AC7624"/>
        </w:tc>
      </w:tr>
      <w:tr w:rsidR="004B3D92" w:rsidTr="00887562">
        <w:trPr>
          <w:trHeight w:val="70"/>
        </w:trPr>
        <w:tc>
          <w:tcPr>
            <w:tcW w:w="3130" w:type="dxa"/>
            <w:shd w:val="clear" w:color="auto" w:fill="auto"/>
          </w:tcPr>
          <w:p w:rsidR="004B3D92" w:rsidRDefault="004B3D92" w:rsidP="0007199D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</w:tr>
      <w:tr w:rsidR="00AC7624" w:rsidTr="00887562">
        <w:trPr>
          <w:trHeight w:val="452"/>
        </w:trPr>
        <w:tc>
          <w:tcPr>
            <w:tcW w:w="3130" w:type="dxa"/>
            <w:shd w:val="clear" w:color="auto" w:fill="auto"/>
          </w:tcPr>
          <w:p w:rsidR="00AC7624" w:rsidRDefault="00AC7624" w:rsidP="0007199D"/>
        </w:tc>
        <w:tc>
          <w:tcPr>
            <w:tcW w:w="3131" w:type="dxa"/>
            <w:shd w:val="clear" w:color="auto" w:fill="auto"/>
          </w:tcPr>
          <w:p w:rsidR="00AC7624" w:rsidRDefault="00AC7624" w:rsidP="00AC7624"/>
        </w:tc>
        <w:tc>
          <w:tcPr>
            <w:tcW w:w="3131" w:type="dxa"/>
            <w:shd w:val="clear" w:color="auto" w:fill="auto"/>
          </w:tcPr>
          <w:p w:rsidR="00FF4882" w:rsidRDefault="00FF4882" w:rsidP="00AC7624"/>
        </w:tc>
      </w:tr>
      <w:tr w:rsidR="00AC7624" w:rsidTr="002D78B5">
        <w:trPr>
          <w:trHeight w:val="416"/>
        </w:trPr>
        <w:tc>
          <w:tcPr>
            <w:tcW w:w="3130" w:type="dxa"/>
            <w:shd w:val="clear" w:color="auto" w:fill="auto"/>
          </w:tcPr>
          <w:p w:rsidR="00AC7624" w:rsidRDefault="00AC7624" w:rsidP="0007199D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</w:tr>
      <w:tr w:rsidR="00AC7624" w:rsidTr="002D78B5">
        <w:trPr>
          <w:trHeight w:val="425"/>
        </w:trPr>
        <w:tc>
          <w:tcPr>
            <w:tcW w:w="3130" w:type="dxa"/>
            <w:shd w:val="clear" w:color="auto" w:fill="auto"/>
          </w:tcPr>
          <w:p w:rsidR="00AC7624" w:rsidRDefault="00AC7624" w:rsidP="0007199D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</w:tr>
      <w:tr w:rsidR="003620A3" w:rsidTr="002D78B5">
        <w:trPr>
          <w:trHeight w:val="417"/>
        </w:trPr>
        <w:tc>
          <w:tcPr>
            <w:tcW w:w="3130" w:type="dxa"/>
            <w:shd w:val="clear" w:color="auto" w:fill="auto"/>
          </w:tcPr>
          <w:p w:rsidR="003620A3" w:rsidRDefault="003620A3" w:rsidP="0007199D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</w:tr>
      <w:tr w:rsidR="003620A3" w:rsidTr="002D78B5">
        <w:trPr>
          <w:trHeight w:val="409"/>
        </w:trPr>
        <w:tc>
          <w:tcPr>
            <w:tcW w:w="3130" w:type="dxa"/>
            <w:shd w:val="clear" w:color="auto" w:fill="auto"/>
          </w:tcPr>
          <w:p w:rsidR="003620A3" w:rsidRDefault="003620A3" w:rsidP="0007199D"/>
        </w:tc>
        <w:tc>
          <w:tcPr>
            <w:tcW w:w="3131" w:type="dxa"/>
            <w:shd w:val="clear" w:color="auto" w:fill="auto"/>
          </w:tcPr>
          <w:p w:rsidR="003620A3" w:rsidRDefault="003620A3" w:rsidP="00AC7624"/>
        </w:tc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FF4882" w:rsidRDefault="00FF4882" w:rsidP="00AC7624"/>
        </w:tc>
      </w:tr>
      <w:tr w:rsidR="00FF4882" w:rsidTr="00887562">
        <w:trPr>
          <w:trHeight w:val="412"/>
        </w:trPr>
        <w:tc>
          <w:tcPr>
            <w:tcW w:w="3130" w:type="dxa"/>
            <w:shd w:val="clear" w:color="auto" w:fill="auto"/>
          </w:tcPr>
          <w:p w:rsidR="00715135" w:rsidRDefault="00715135" w:rsidP="0007199D"/>
        </w:tc>
        <w:tc>
          <w:tcPr>
            <w:tcW w:w="3131" w:type="dxa"/>
            <w:shd w:val="clear" w:color="auto" w:fill="auto"/>
          </w:tcPr>
          <w:p w:rsidR="007921D9" w:rsidRDefault="007921D9" w:rsidP="00AC7624"/>
        </w:tc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C159E0" w:rsidRDefault="00C159E0" w:rsidP="00C159E0"/>
        </w:tc>
      </w:tr>
    </w:tbl>
    <w:p w:rsidR="00AC7624" w:rsidRDefault="00AC7624" w:rsidP="00AC7624"/>
    <w:p w:rsidR="00C159E0" w:rsidRDefault="00C159E0" w:rsidP="00AC7624">
      <w:pPr>
        <w:rPr>
          <w:b/>
          <w:sz w:val="28"/>
          <w:szCs w:val="28"/>
        </w:rPr>
      </w:pPr>
    </w:p>
    <w:p w:rsidR="00C159E0" w:rsidRDefault="00C159E0" w:rsidP="00AC7624">
      <w:pPr>
        <w:rPr>
          <w:b/>
          <w:sz w:val="28"/>
          <w:szCs w:val="28"/>
        </w:rPr>
      </w:pPr>
    </w:p>
    <w:p w:rsidR="00FF4882" w:rsidRPr="008726C5" w:rsidRDefault="00FF4882" w:rsidP="00AC7624">
      <w:pPr>
        <w:rPr>
          <w:b/>
          <w:sz w:val="28"/>
          <w:szCs w:val="28"/>
          <w:u w:val="single"/>
        </w:rPr>
      </w:pPr>
      <w:r w:rsidRPr="008726C5">
        <w:rPr>
          <w:b/>
          <w:sz w:val="28"/>
          <w:szCs w:val="28"/>
          <w:u w:val="single"/>
        </w:rPr>
        <w:t>Učebné zdroje</w:t>
      </w:r>
    </w:p>
    <w:p w:rsidR="00FF4882" w:rsidRDefault="00FF4882" w:rsidP="00AC7624">
      <w:r>
        <w:t>Na podporu a aktiváciu vyučovania a učenia žiakov sa využijú nasledovné učebné zdroje:</w:t>
      </w:r>
    </w:p>
    <w:p w:rsidR="002402D2" w:rsidRPr="008A663D" w:rsidRDefault="002402D2"/>
    <w:p w:rsidR="00AE50CA" w:rsidRDefault="00AE50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290"/>
        <w:gridCol w:w="1684"/>
        <w:gridCol w:w="1706"/>
        <w:gridCol w:w="1777"/>
      </w:tblGrid>
      <w:tr w:rsidR="00761ED5" w:rsidTr="003C11F3">
        <w:tc>
          <w:tcPr>
            <w:tcW w:w="1831" w:type="dxa"/>
            <w:shd w:val="clear" w:color="auto" w:fill="auto"/>
          </w:tcPr>
          <w:p w:rsidR="00761ED5" w:rsidRPr="00C10A98" w:rsidRDefault="00672B30">
            <w:pPr>
              <w:rPr>
                <w:b/>
              </w:rPr>
            </w:pPr>
            <w:r w:rsidRPr="00C10A98">
              <w:rPr>
                <w:b/>
              </w:rPr>
              <w:t>Názov tematického celku</w:t>
            </w:r>
          </w:p>
        </w:tc>
        <w:tc>
          <w:tcPr>
            <w:tcW w:w="2290" w:type="dxa"/>
            <w:shd w:val="clear" w:color="auto" w:fill="auto"/>
          </w:tcPr>
          <w:p w:rsidR="00761ED5" w:rsidRPr="00C10A98" w:rsidRDefault="00672B30">
            <w:pPr>
              <w:rPr>
                <w:b/>
              </w:rPr>
            </w:pPr>
            <w:r w:rsidRPr="00C10A98">
              <w:rPr>
                <w:b/>
              </w:rPr>
              <w:t>Odborná literatúra</w:t>
            </w:r>
          </w:p>
        </w:tc>
        <w:tc>
          <w:tcPr>
            <w:tcW w:w="1684" w:type="dxa"/>
            <w:shd w:val="clear" w:color="auto" w:fill="auto"/>
          </w:tcPr>
          <w:p w:rsidR="00761ED5" w:rsidRPr="00C10A98" w:rsidRDefault="00672B30">
            <w:pPr>
              <w:rPr>
                <w:b/>
              </w:rPr>
            </w:pPr>
            <w:r w:rsidRPr="00C10A98">
              <w:rPr>
                <w:b/>
              </w:rPr>
              <w:t>Didaktická technika</w:t>
            </w:r>
          </w:p>
        </w:tc>
        <w:tc>
          <w:tcPr>
            <w:tcW w:w="1706" w:type="dxa"/>
            <w:shd w:val="clear" w:color="auto" w:fill="auto"/>
          </w:tcPr>
          <w:p w:rsidR="00761ED5" w:rsidRPr="00C10A98" w:rsidRDefault="00672B30">
            <w:pPr>
              <w:rPr>
                <w:b/>
              </w:rPr>
            </w:pPr>
            <w:r w:rsidRPr="00C10A98">
              <w:rPr>
                <w:b/>
              </w:rPr>
              <w:t>Materiálne výučbové prostriedky</w:t>
            </w:r>
          </w:p>
        </w:tc>
        <w:tc>
          <w:tcPr>
            <w:tcW w:w="1777" w:type="dxa"/>
            <w:shd w:val="clear" w:color="auto" w:fill="auto"/>
          </w:tcPr>
          <w:p w:rsidR="00761ED5" w:rsidRDefault="00672B30">
            <w:r w:rsidRPr="00C10A98">
              <w:rPr>
                <w:b/>
              </w:rPr>
              <w:t>Ďalšie zdroje</w:t>
            </w:r>
            <w:r>
              <w:t xml:space="preserve"> (internet, knižnica...)</w:t>
            </w:r>
          </w:p>
        </w:tc>
      </w:tr>
      <w:tr w:rsidR="00761ED5" w:rsidTr="003C11F3">
        <w:tc>
          <w:tcPr>
            <w:tcW w:w="1831" w:type="dxa"/>
            <w:shd w:val="clear" w:color="auto" w:fill="auto"/>
          </w:tcPr>
          <w:p w:rsidR="00761ED5" w:rsidRDefault="00672B30" w:rsidP="00E44412">
            <w:r>
              <w:t xml:space="preserve">1. </w:t>
            </w:r>
            <w:r w:rsidR="0000778A">
              <w:t>Človek a spoločnosť</w:t>
            </w:r>
          </w:p>
        </w:tc>
        <w:tc>
          <w:tcPr>
            <w:tcW w:w="2290" w:type="dxa"/>
            <w:shd w:val="clear" w:color="auto" w:fill="auto"/>
          </w:tcPr>
          <w:p w:rsidR="00761ED5" w:rsidRDefault="004C1C10">
            <w:r>
              <w:t>Jelínek S.,Folprechtová J., Raduga, Nakladateľstvo Fraus, Bratislava, 1997</w:t>
            </w:r>
          </w:p>
        </w:tc>
        <w:tc>
          <w:tcPr>
            <w:tcW w:w="1684" w:type="dxa"/>
            <w:shd w:val="clear" w:color="auto" w:fill="auto"/>
          </w:tcPr>
          <w:p w:rsidR="00761ED5" w:rsidRDefault="00672B30">
            <w:r>
              <w:t>Tabuľa</w:t>
            </w:r>
            <w:r w:rsidR="005E25B8">
              <w:t>, internet, CD</w:t>
            </w:r>
          </w:p>
        </w:tc>
        <w:tc>
          <w:tcPr>
            <w:tcW w:w="1706" w:type="dxa"/>
            <w:shd w:val="clear" w:color="auto" w:fill="auto"/>
          </w:tcPr>
          <w:p w:rsidR="00761ED5" w:rsidRDefault="00672B30">
            <w:r>
              <w:t>Učebnice</w:t>
            </w:r>
          </w:p>
        </w:tc>
        <w:tc>
          <w:tcPr>
            <w:tcW w:w="1777" w:type="dxa"/>
            <w:shd w:val="clear" w:color="auto" w:fill="auto"/>
          </w:tcPr>
          <w:p w:rsidR="00761ED5" w:rsidRDefault="008726C5">
            <w:r>
              <w:t>Internet</w:t>
            </w:r>
          </w:p>
        </w:tc>
      </w:tr>
      <w:tr w:rsidR="00761ED5" w:rsidTr="003C11F3">
        <w:tc>
          <w:tcPr>
            <w:tcW w:w="1831" w:type="dxa"/>
            <w:shd w:val="clear" w:color="auto" w:fill="auto"/>
          </w:tcPr>
          <w:p w:rsidR="00761ED5" w:rsidRDefault="00672B30" w:rsidP="00E44412">
            <w:r>
              <w:t xml:space="preserve">2. </w:t>
            </w:r>
            <w:r w:rsidR="0000778A">
              <w:t>Starostlivosť o zdravie</w:t>
            </w:r>
          </w:p>
        </w:tc>
        <w:tc>
          <w:tcPr>
            <w:tcW w:w="2290" w:type="dxa"/>
            <w:shd w:val="clear" w:color="auto" w:fill="auto"/>
          </w:tcPr>
          <w:p w:rsidR="00EC5B1E" w:rsidRDefault="00543302">
            <w:r>
              <w:t>Jelínek S.,Folprechtová J., Raduga, Nakladateľstvo Fraus, Bratislava, 1997</w:t>
            </w:r>
          </w:p>
        </w:tc>
        <w:tc>
          <w:tcPr>
            <w:tcW w:w="1684" w:type="dxa"/>
            <w:shd w:val="clear" w:color="auto" w:fill="auto"/>
          </w:tcPr>
          <w:p w:rsidR="00761ED5" w:rsidRDefault="00EC5B1E">
            <w:r>
              <w:t>Tabuľa</w:t>
            </w:r>
            <w:r w:rsidR="005E25B8">
              <w:t>, CD nahrávka, PC</w:t>
            </w:r>
          </w:p>
          <w:p w:rsidR="00EC5B1E" w:rsidRDefault="00EC5B1E"/>
        </w:tc>
        <w:tc>
          <w:tcPr>
            <w:tcW w:w="1706" w:type="dxa"/>
            <w:shd w:val="clear" w:color="auto" w:fill="auto"/>
          </w:tcPr>
          <w:p w:rsidR="00761ED5" w:rsidRDefault="00EC5B1E">
            <w:r>
              <w:t>Učebnice</w:t>
            </w:r>
          </w:p>
          <w:p w:rsidR="00EC5B1E" w:rsidRDefault="00EC5B1E">
            <w:r>
              <w:t>Zošity</w:t>
            </w:r>
          </w:p>
          <w:p w:rsidR="00EC5B1E" w:rsidRDefault="00EC5B1E">
            <w:r>
              <w:t>Pracovné zošity</w:t>
            </w:r>
          </w:p>
        </w:tc>
        <w:tc>
          <w:tcPr>
            <w:tcW w:w="1777" w:type="dxa"/>
            <w:shd w:val="clear" w:color="auto" w:fill="auto"/>
          </w:tcPr>
          <w:p w:rsidR="00761ED5" w:rsidRDefault="00A636F3">
            <w:r>
              <w:t>Knižnica</w:t>
            </w:r>
          </w:p>
        </w:tc>
      </w:tr>
      <w:tr w:rsidR="00761ED5" w:rsidTr="003C11F3">
        <w:tc>
          <w:tcPr>
            <w:tcW w:w="1831" w:type="dxa"/>
            <w:shd w:val="clear" w:color="auto" w:fill="auto"/>
          </w:tcPr>
          <w:p w:rsidR="00761ED5" w:rsidRDefault="00EC5B1E" w:rsidP="00E44412">
            <w:r>
              <w:t xml:space="preserve">3. </w:t>
            </w:r>
            <w:r w:rsidR="0000778A">
              <w:t>Kultúra a umenie</w:t>
            </w:r>
          </w:p>
        </w:tc>
        <w:tc>
          <w:tcPr>
            <w:tcW w:w="2290" w:type="dxa"/>
            <w:shd w:val="clear" w:color="auto" w:fill="auto"/>
          </w:tcPr>
          <w:p w:rsidR="00761ED5" w:rsidRDefault="00543302">
            <w:r>
              <w:t>Jelínek S.,Folprechtová J., Raduga, Nakladateľstvo Fraus, Bratislava, 1997</w:t>
            </w:r>
          </w:p>
          <w:p w:rsidR="00543302" w:rsidRDefault="00543302" w:rsidP="00893FAB">
            <w:r>
              <w:t>Šourková A., Rudolfová Ľ., Ruská konverzácia,S</w:t>
            </w:r>
            <w:r w:rsidR="00893FAB">
              <w:t>PN</w:t>
            </w:r>
            <w:r>
              <w:t>, Bratislava 1976</w:t>
            </w:r>
          </w:p>
        </w:tc>
        <w:tc>
          <w:tcPr>
            <w:tcW w:w="1684" w:type="dxa"/>
            <w:shd w:val="clear" w:color="auto" w:fill="auto"/>
          </w:tcPr>
          <w:p w:rsidR="00761ED5" w:rsidRDefault="00EC5B1E">
            <w:r>
              <w:t>Tabuľa</w:t>
            </w:r>
            <w:r w:rsidR="005E25B8">
              <w:t>, PC</w:t>
            </w:r>
          </w:p>
        </w:tc>
        <w:tc>
          <w:tcPr>
            <w:tcW w:w="1706" w:type="dxa"/>
            <w:shd w:val="clear" w:color="auto" w:fill="auto"/>
          </w:tcPr>
          <w:p w:rsidR="00761ED5" w:rsidRDefault="00EC5B1E">
            <w:r>
              <w:t>Učebnice</w:t>
            </w:r>
          </w:p>
          <w:p w:rsidR="00EC5B1E" w:rsidRDefault="00EC5B1E">
            <w:r>
              <w:t>Zošity</w:t>
            </w:r>
          </w:p>
        </w:tc>
        <w:tc>
          <w:tcPr>
            <w:tcW w:w="1777" w:type="dxa"/>
            <w:shd w:val="clear" w:color="auto" w:fill="auto"/>
          </w:tcPr>
          <w:p w:rsidR="00761ED5" w:rsidRDefault="00A636F3">
            <w:r>
              <w:t>Knižnica</w:t>
            </w:r>
          </w:p>
        </w:tc>
      </w:tr>
      <w:tr w:rsidR="00761ED5" w:rsidTr="003C11F3">
        <w:tc>
          <w:tcPr>
            <w:tcW w:w="1831" w:type="dxa"/>
            <w:shd w:val="clear" w:color="auto" w:fill="auto"/>
          </w:tcPr>
          <w:p w:rsidR="00761ED5" w:rsidRDefault="00EC5B1E" w:rsidP="00E44412">
            <w:r>
              <w:t xml:space="preserve">4. </w:t>
            </w:r>
            <w:r w:rsidR="0000778A">
              <w:t>Ruské suveníry</w:t>
            </w:r>
          </w:p>
        </w:tc>
        <w:tc>
          <w:tcPr>
            <w:tcW w:w="2290" w:type="dxa"/>
            <w:shd w:val="clear" w:color="auto" w:fill="auto"/>
          </w:tcPr>
          <w:p w:rsidR="00893FAB" w:rsidRDefault="00893FAB" w:rsidP="00893FAB">
            <w:r>
              <w:t>Jelínek S.,Folprechtová J., Raduga, Nakladateľstvo Fraus, Bratislava, 1997</w:t>
            </w:r>
          </w:p>
          <w:p w:rsidR="00761ED5" w:rsidRDefault="00761ED5"/>
        </w:tc>
        <w:tc>
          <w:tcPr>
            <w:tcW w:w="1684" w:type="dxa"/>
            <w:shd w:val="clear" w:color="auto" w:fill="auto"/>
          </w:tcPr>
          <w:p w:rsidR="00761ED5" w:rsidRDefault="00EC5B1E">
            <w:r>
              <w:t>Tabuľa</w:t>
            </w:r>
            <w:r w:rsidR="005E25B8">
              <w:t>, PC</w:t>
            </w:r>
          </w:p>
          <w:p w:rsidR="00EC5B1E" w:rsidRDefault="00EC5B1E"/>
        </w:tc>
        <w:tc>
          <w:tcPr>
            <w:tcW w:w="1706" w:type="dxa"/>
            <w:shd w:val="clear" w:color="auto" w:fill="auto"/>
          </w:tcPr>
          <w:p w:rsidR="00761ED5" w:rsidRDefault="00EC5B1E">
            <w:r>
              <w:t>Pracovné zošity</w:t>
            </w:r>
          </w:p>
          <w:p w:rsidR="00EC5B1E" w:rsidRDefault="00EC5B1E">
            <w:r>
              <w:t>Prekladové slovníky</w:t>
            </w:r>
          </w:p>
        </w:tc>
        <w:tc>
          <w:tcPr>
            <w:tcW w:w="1777" w:type="dxa"/>
            <w:shd w:val="clear" w:color="auto" w:fill="auto"/>
          </w:tcPr>
          <w:p w:rsidR="00761ED5" w:rsidRDefault="00EC5B1E">
            <w:r>
              <w:t>Kolektív autorov, Príručná gramatika RUJ pre SŠ, SPN, Bratislava 1975</w:t>
            </w:r>
          </w:p>
        </w:tc>
      </w:tr>
      <w:tr w:rsidR="00761ED5" w:rsidTr="003C11F3">
        <w:tc>
          <w:tcPr>
            <w:tcW w:w="1831" w:type="dxa"/>
            <w:shd w:val="clear" w:color="auto" w:fill="auto"/>
          </w:tcPr>
          <w:p w:rsidR="00761ED5" w:rsidRDefault="00EC5B1E" w:rsidP="00E44412">
            <w:r>
              <w:t xml:space="preserve">5. </w:t>
            </w:r>
            <w:r w:rsidR="0000778A">
              <w:t>Medzuľudské vzťahy</w:t>
            </w:r>
          </w:p>
        </w:tc>
        <w:tc>
          <w:tcPr>
            <w:tcW w:w="2290" w:type="dxa"/>
            <w:shd w:val="clear" w:color="auto" w:fill="auto"/>
          </w:tcPr>
          <w:p w:rsidR="00761ED5" w:rsidRDefault="00893FAB">
            <w:r>
              <w:t>Šourková A., Rudolfová Ľ., Ruská konverzácia,SNP, Bratislava 1976</w:t>
            </w:r>
          </w:p>
        </w:tc>
        <w:tc>
          <w:tcPr>
            <w:tcW w:w="1684" w:type="dxa"/>
            <w:shd w:val="clear" w:color="auto" w:fill="auto"/>
          </w:tcPr>
          <w:p w:rsidR="00761ED5" w:rsidRDefault="00EC5B1E">
            <w:r>
              <w:t>Video</w:t>
            </w:r>
          </w:p>
          <w:p w:rsidR="00EC5B1E" w:rsidRDefault="00EC5B1E">
            <w:r>
              <w:t>tabuľa</w:t>
            </w:r>
          </w:p>
        </w:tc>
        <w:tc>
          <w:tcPr>
            <w:tcW w:w="1706" w:type="dxa"/>
            <w:shd w:val="clear" w:color="auto" w:fill="auto"/>
          </w:tcPr>
          <w:p w:rsidR="00761ED5" w:rsidRDefault="00EC5B1E">
            <w:r>
              <w:t>Učebnice</w:t>
            </w:r>
          </w:p>
          <w:p w:rsidR="00EC5B1E" w:rsidRDefault="00EC5B1E">
            <w:r>
              <w:t>Zošity</w:t>
            </w:r>
          </w:p>
          <w:p w:rsidR="00EC5B1E" w:rsidRDefault="00EC5B1E">
            <w:r>
              <w:t>Pracovné zošity</w:t>
            </w:r>
          </w:p>
        </w:tc>
        <w:tc>
          <w:tcPr>
            <w:tcW w:w="1777" w:type="dxa"/>
            <w:shd w:val="clear" w:color="auto" w:fill="auto"/>
          </w:tcPr>
          <w:p w:rsidR="00761ED5" w:rsidRDefault="00EC5B1E">
            <w:r>
              <w:t>Internet</w:t>
            </w:r>
          </w:p>
          <w:p w:rsidR="00EC5B1E" w:rsidRDefault="00EC5B1E">
            <w:r>
              <w:t>Obrázkový materiál</w:t>
            </w:r>
          </w:p>
        </w:tc>
      </w:tr>
      <w:tr w:rsidR="0079435A" w:rsidTr="003C11F3">
        <w:tc>
          <w:tcPr>
            <w:tcW w:w="1831" w:type="dxa"/>
            <w:shd w:val="clear" w:color="auto" w:fill="auto"/>
          </w:tcPr>
          <w:p w:rsidR="0079435A" w:rsidRDefault="0079435A" w:rsidP="00E44412">
            <w:r>
              <w:lastRenderedPageBreak/>
              <w:t xml:space="preserve">6. </w:t>
            </w:r>
            <w:r w:rsidR="0000778A">
              <w:t>Multikultúrna spoločnosť</w:t>
            </w:r>
          </w:p>
          <w:p w:rsidR="0000778A" w:rsidRDefault="0000778A" w:rsidP="00E44412"/>
          <w:p w:rsidR="0000778A" w:rsidRDefault="0000778A" w:rsidP="00E44412"/>
          <w:p w:rsidR="0000778A" w:rsidRDefault="0000778A" w:rsidP="00E44412"/>
          <w:p w:rsidR="0000778A" w:rsidRDefault="0000778A" w:rsidP="00E44412"/>
          <w:p w:rsidR="0000778A" w:rsidRDefault="0000778A" w:rsidP="00E44412"/>
          <w:p w:rsidR="0000778A" w:rsidRDefault="0000778A" w:rsidP="00E44412"/>
        </w:tc>
        <w:tc>
          <w:tcPr>
            <w:tcW w:w="2290" w:type="dxa"/>
            <w:shd w:val="clear" w:color="auto" w:fill="auto"/>
          </w:tcPr>
          <w:p w:rsidR="0079435A" w:rsidRDefault="00893FAB" w:rsidP="0079435A">
            <w:r>
              <w:t>Kollarová E.,Trušinová Ľ.B.,Vstreči s </w:t>
            </w:r>
            <w:r w:rsidR="003C11F3">
              <w:t>R</w:t>
            </w:r>
            <w:r>
              <w:t>osijej., SPN,Bratislava.,2010</w:t>
            </w:r>
          </w:p>
          <w:p w:rsidR="00893FAB" w:rsidRDefault="00893FAB" w:rsidP="0079435A"/>
        </w:tc>
        <w:tc>
          <w:tcPr>
            <w:tcW w:w="1684" w:type="dxa"/>
            <w:shd w:val="clear" w:color="auto" w:fill="auto"/>
          </w:tcPr>
          <w:p w:rsidR="0079435A" w:rsidRDefault="0079435A">
            <w:r>
              <w:t>Tabuľa</w:t>
            </w:r>
            <w:r w:rsidR="005E25B8">
              <w:t>, PC</w:t>
            </w:r>
          </w:p>
          <w:p w:rsidR="0079435A" w:rsidRDefault="0079435A"/>
        </w:tc>
        <w:tc>
          <w:tcPr>
            <w:tcW w:w="1706" w:type="dxa"/>
            <w:shd w:val="clear" w:color="auto" w:fill="auto"/>
          </w:tcPr>
          <w:p w:rsidR="0079435A" w:rsidRDefault="0079435A">
            <w:r>
              <w:t>Učebnice</w:t>
            </w:r>
          </w:p>
          <w:p w:rsidR="0079435A" w:rsidRDefault="0079435A">
            <w:r>
              <w:t>Zošity</w:t>
            </w:r>
          </w:p>
        </w:tc>
        <w:tc>
          <w:tcPr>
            <w:tcW w:w="1777" w:type="dxa"/>
            <w:shd w:val="clear" w:color="auto" w:fill="auto"/>
          </w:tcPr>
          <w:p w:rsidR="0079435A" w:rsidRDefault="0079435A"/>
        </w:tc>
      </w:tr>
    </w:tbl>
    <w:p w:rsidR="00AE50CA" w:rsidRDefault="00AE50CA" w:rsidP="003C11F3"/>
    <w:sectPr w:rsidR="00AE50CA" w:rsidSect="00A4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6DC" w:rsidRDefault="007916DC" w:rsidP="002D78B5">
      <w:r>
        <w:separator/>
      </w:r>
    </w:p>
  </w:endnote>
  <w:endnote w:type="continuationSeparator" w:id="1">
    <w:p w:rsidR="007916DC" w:rsidRDefault="007916DC" w:rsidP="002D7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6DC" w:rsidRDefault="007916DC" w:rsidP="002D78B5">
      <w:r>
        <w:separator/>
      </w:r>
    </w:p>
  </w:footnote>
  <w:footnote w:type="continuationSeparator" w:id="1">
    <w:p w:rsidR="007916DC" w:rsidRDefault="007916DC" w:rsidP="002D7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CE1831"/>
    <w:multiLevelType w:val="hybridMultilevel"/>
    <w:tmpl w:val="445E5506"/>
    <w:lvl w:ilvl="0" w:tplc="22D0D2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3D9"/>
    <w:rsid w:val="00000A62"/>
    <w:rsid w:val="0000778A"/>
    <w:rsid w:val="0001038B"/>
    <w:rsid w:val="00026967"/>
    <w:rsid w:val="000272BC"/>
    <w:rsid w:val="00031594"/>
    <w:rsid w:val="00032A54"/>
    <w:rsid w:val="00057BC6"/>
    <w:rsid w:val="000640D1"/>
    <w:rsid w:val="0007199D"/>
    <w:rsid w:val="000808FE"/>
    <w:rsid w:val="0008364F"/>
    <w:rsid w:val="000D0BE4"/>
    <w:rsid w:val="000E698F"/>
    <w:rsid w:val="001238D0"/>
    <w:rsid w:val="00166AF0"/>
    <w:rsid w:val="001727D3"/>
    <w:rsid w:val="001735E9"/>
    <w:rsid w:val="001756AE"/>
    <w:rsid w:val="00185E7C"/>
    <w:rsid w:val="00190A6D"/>
    <w:rsid w:val="001927FE"/>
    <w:rsid w:val="001A570D"/>
    <w:rsid w:val="001D044D"/>
    <w:rsid w:val="001D7E5D"/>
    <w:rsid w:val="001E6697"/>
    <w:rsid w:val="002107FE"/>
    <w:rsid w:val="002402D2"/>
    <w:rsid w:val="00261AF9"/>
    <w:rsid w:val="00281F44"/>
    <w:rsid w:val="002A1533"/>
    <w:rsid w:val="002B47A7"/>
    <w:rsid w:val="002B788F"/>
    <w:rsid w:val="002D78B5"/>
    <w:rsid w:val="002F7D20"/>
    <w:rsid w:val="003101DB"/>
    <w:rsid w:val="003309FC"/>
    <w:rsid w:val="0035378B"/>
    <w:rsid w:val="003620A3"/>
    <w:rsid w:val="00362ABC"/>
    <w:rsid w:val="003905FD"/>
    <w:rsid w:val="003C11F3"/>
    <w:rsid w:val="003C3741"/>
    <w:rsid w:val="003F6026"/>
    <w:rsid w:val="0040017F"/>
    <w:rsid w:val="00422160"/>
    <w:rsid w:val="004360B4"/>
    <w:rsid w:val="00461EA2"/>
    <w:rsid w:val="00462F88"/>
    <w:rsid w:val="0048664E"/>
    <w:rsid w:val="00495B04"/>
    <w:rsid w:val="004A40E9"/>
    <w:rsid w:val="004A526C"/>
    <w:rsid w:val="004B3D92"/>
    <w:rsid w:val="004C1C10"/>
    <w:rsid w:val="004D3E67"/>
    <w:rsid w:val="005140C2"/>
    <w:rsid w:val="005355C3"/>
    <w:rsid w:val="00542487"/>
    <w:rsid w:val="00543302"/>
    <w:rsid w:val="00561C38"/>
    <w:rsid w:val="00562BB6"/>
    <w:rsid w:val="00565C39"/>
    <w:rsid w:val="005A1869"/>
    <w:rsid w:val="005B61E7"/>
    <w:rsid w:val="005E087C"/>
    <w:rsid w:val="005E25B8"/>
    <w:rsid w:val="00642994"/>
    <w:rsid w:val="00645CF0"/>
    <w:rsid w:val="00653149"/>
    <w:rsid w:val="00672B30"/>
    <w:rsid w:val="0067599E"/>
    <w:rsid w:val="00677F18"/>
    <w:rsid w:val="00681B0E"/>
    <w:rsid w:val="006C00F9"/>
    <w:rsid w:val="006C2B62"/>
    <w:rsid w:val="006D6F9E"/>
    <w:rsid w:val="006E50EE"/>
    <w:rsid w:val="006F0A75"/>
    <w:rsid w:val="006F1CEF"/>
    <w:rsid w:val="006F2E6B"/>
    <w:rsid w:val="00715135"/>
    <w:rsid w:val="00721BAA"/>
    <w:rsid w:val="00726C9B"/>
    <w:rsid w:val="00761ED5"/>
    <w:rsid w:val="007916DC"/>
    <w:rsid w:val="007921D9"/>
    <w:rsid w:val="007938D5"/>
    <w:rsid w:val="0079435A"/>
    <w:rsid w:val="00795F9F"/>
    <w:rsid w:val="00797EA7"/>
    <w:rsid w:val="007B4B68"/>
    <w:rsid w:val="007E3A83"/>
    <w:rsid w:val="007E7EF6"/>
    <w:rsid w:val="00804CE3"/>
    <w:rsid w:val="00807081"/>
    <w:rsid w:val="008511F7"/>
    <w:rsid w:val="00863789"/>
    <w:rsid w:val="00867830"/>
    <w:rsid w:val="008726C5"/>
    <w:rsid w:val="00873A30"/>
    <w:rsid w:val="00874D5B"/>
    <w:rsid w:val="00887562"/>
    <w:rsid w:val="00893FAB"/>
    <w:rsid w:val="008A663D"/>
    <w:rsid w:val="008C4C7E"/>
    <w:rsid w:val="008F7BFE"/>
    <w:rsid w:val="00902E8C"/>
    <w:rsid w:val="00912A0F"/>
    <w:rsid w:val="009269F5"/>
    <w:rsid w:val="00926F3D"/>
    <w:rsid w:val="00931EB1"/>
    <w:rsid w:val="0093269D"/>
    <w:rsid w:val="00946127"/>
    <w:rsid w:val="00962553"/>
    <w:rsid w:val="009650B4"/>
    <w:rsid w:val="0099791A"/>
    <w:rsid w:val="009A4FAE"/>
    <w:rsid w:val="009B290D"/>
    <w:rsid w:val="009D4D46"/>
    <w:rsid w:val="00A0387A"/>
    <w:rsid w:val="00A05C5A"/>
    <w:rsid w:val="00A275C2"/>
    <w:rsid w:val="00A318BA"/>
    <w:rsid w:val="00A42FD2"/>
    <w:rsid w:val="00A61E5D"/>
    <w:rsid w:val="00A636F3"/>
    <w:rsid w:val="00A8073E"/>
    <w:rsid w:val="00AA0940"/>
    <w:rsid w:val="00AB3F07"/>
    <w:rsid w:val="00AC2325"/>
    <w:rsid w:val="00AC7624"/>
    <w:rsid w:val="00AD51EA"/>
    <w:rsid w:val="00AE50CA"/>
    <w:rsid w:val="00AF4C4E"/>
    <w:rsid w:val="00B378CD"/>
    <w:rsid w:val="00B4400B"/>
    <w:rsid w:val="00B56A61"/>
    <w:rsid w:val="00B64FDE"/>
    <w:rsid w:val="00B86766"/>
    <w:rsid w:val="00B930FB"/>
    <w:rsid w:val="00B96310"/>
    <w:rsid w:val="00BB6CCA"/>
    <w:rsid w:val="00BC5CED"/>
    <w:rsid w:val="00BF5D3F"/>
    <w:rsid w:val="00BF6041"/>
    <w:rsid w:val="00BF70BD"/>
    <w:rsid w:val="00C02811"/>
    <w:rsid w:val="00C10A98"/>
    <w:rsid w:val="00C159E0"/>
    <w:rsid w:val="00C163A4"/>
    <w:rsid w:val="00C615AF"/>
    <w:rsid w:val="00CC22F4"/>
    <w:rsid w:val="00CC4248"/>
    <w:rsid w:val="00CC78E2"/>
    <w:rsid w:val="00CF1338"/>
    <w:rsid w:val="00D05170"/>
    <w:rsid w:val="00D14FAB"/>
    <w:rsid w:val="00D231E5"/>
    <w:rsid w:val="00D25E26"/>
    <w:rsid w:val="00D32CCC"/>
    <w:rsid w:val="00D74CCD"/>
    <w:rsid w:val="00D9053F"/>
    <w:rsid w:val="00D911CE"/>
    <w:rsid w:val="00D95813"/>
    <w:rsid w:val="00DB0DDC"/>
    <w:rsid w:val="00DB53D9"/>
    <w:rsid w:val="00DB73BE"/>
    <w:rsid w:val="00DD6513"/>
    <w:rsid w:val="00DE3DC3"/>
    <w:rsid w:val="00E04A95"/>
    <w:rsid w:val="00E17460"/>
    <w:rsid w:val="00E44412"/>
    <w:rsid w:val="00E445E2"/>
    <w:rsid w:val="00EC5B1E"/>
    <w:rsid w:val="00ED0746"/>
    <w:rsid w:val="00EE1E0E"/>
    <w:rsid w:val="00EF32D9"/>
    <w:rsid w:val="00EF712B"/>
    <w:rsid w:val="00EF7A92"/>
    <w:rsid w:val="00F1031A"/>
    <w:rsid w:val="00F326E7"/>
    <w:rsid w:val="00F64209"/>
    <w:rsid w:val="00F8360D"/>
    <w:rsid w:val="00F86BC6"/>
    <w:rsid w:val="00F9191E"/>
    <w:rsid w:val="00F95C58"/>
    <w:rsid w:val="00F9729E"/>
    <w:rsid w:val="00FB58BA"/>
    <w:rsid w:val="00FE608B"/>
    <w:rsid w:val="00FE7234"/>
    <w:rsid w:val="00FF4882"/>
    <w:rsid w:val="00FF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42FD2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B5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2D78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D78B5"/>
    <w:rPr>
      <w:sz w:val="24"/>
      <w:szCs w:val="24"/>
    </w:rPr>
  </w:style>
  <w:style w:type="paragraph" w:styleId="Pta">
    <w:name w:val="footer"/>
    <w:basedOn w:val="Normlny"/>
    <w:link w:val="PtaChar"/>
    <w:rsid w:val="002D78B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2D78B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C5030-2DB2-431E-89EC-9431BC64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predmetu</vt:lpstr>
      <vt:lpstr>Názov predmetu</vt:lpstr>
    </vt:vector>
  </TitlesOfParts>
  <Company>Sidorovie</Company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Bubu</dc:creator>
  <cp:keywords/>
  <cp:lastModifiedBy>VojtoPC</cp:lastModifiedBy>
  <cp:revision>4</cp:revision>
  <dcterms:created xsi:type="dcterms:W3CDTF">2019-09-12T13:44:00Z</dcterms:created>
  <dcterms:modified xsi:type="dcterms:W3CDTF">2019-09-12T14:38:00Z</dcterms:modified>
</cp:coreProperties>
</file>